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2012/4 vom 3. Juni 2013</w:t>
      </w:r>
    </w:p>
    <w:p>
      <w:r>
        <w:t>Sg Versicherungsgericht, 2013-06-03, DE</w:t>
      </w:r>
    </w:p>
    <w:p>
      <w:r>
        <w:rPr>
          <w:b/>
        </w:rPr>
        <w:t xml:space="preserve">Quelle: </w:t>
      </w:r>
      <w:r>
        <w:t>https://mcp.opencaselaw.ch/entscheid/sg_publikationen_BV 2012_4</w:t>
      </w:r>
    </w:p>
    <w:p>
      <w:r>
        <w:t>FR: SG_VERSICHERUNGSGERICHT BV 2012/4 du 3 juin 2013</w:t>
      </w:r>
    </w:p>
    <w:p>
      <w:r>
        <w:t>IT: SG_VERSICHERUNGSGERICHT BV 2012/4 del 3 giugno 2013</w:t>
      </w:r>
    </w:p>
    <w:p>
      <w:pPr>
        <w:pStyle w:val="Heading2"/>
      </w:pPr>
      <w:r>
        <w:t>Regeste</w:t>
      </w:r>
    </w:p>
    <w:p>
      <w:r>
        <w:t>Berufliche Vorsorge: Höhe des für die Bemessung der reglementarischen Invalidenrente massgebenden Lohns, wenn das Reglement den gemeldeten Lohn als massgebend bezeichnet und dieser konkret tiefer war als der effektiv erzielte AHV-Lohn (Entscheid des Versicherungsgerichts des Kantons St. Gallen vom 3. Juni 2013, BV 2012/4).</w:t>
      </w:r>
    </w:p>
    <w:p>
      <w:pPr>
        <w:pStyle w:val="Heading2"/>
      </w:pPr>
      <w:r>
        <w:t>Erwägungen</w:t>
      </w:r>
    </w:p>
    <w:p>
      <w:r>
        <w:rPr>
          <w:b/>
        </w:rPr>
        <w:t>E. 1</w:t>
      </w:r>
    </w:p>
    <w:p>
      <w:r>
        <w:t>1.1   Die Klägerin erhob vorerst eine Stufenklage, indem sie zunächst die Ausstellung eines Versicherungsausweises per 30. November 2010 verlangte (act. G 1). Dies mit dem Zweck, die Klage danach betraglich beziffern zu können. Mit Replik zog die Klägerin dieses Rechtsbegehren zurück (act. G 15), so dass die Frage der Zulässigkeit der Stufenklage nicht mehr beurteilt zu werden braucht. Immerhin ist festzuhalten, dass nach Art. 73 Abs. 2 BVG das Gericht den für die Beurteilung der Streitsache erheblichen Sachverhalt von Amtes wegen feststellt und in diesem Rahmen auch die erforderlichen Unterlagen und Auskünfte einholt. Eine Leistungsklage kann auch erhoben werden, ohne dass die Leistungen betraglich genau beziffert werden. Dementsprechend kann das Berufsvorsorgegericht im materiellen Entscheid einen Leistungsanspruch auch lediglich dem Grundsatz nach feststellen, ohne eine betragliche Bezifferung vorzunehmen (vgl. BGE 129 V 452). Vor diesem Hintergrund ist die streitige Angelegenheit im Rahmen einer Leistungsklage nach Art. 73 BVG zu prüfen und zu entscheiden (vgl. auch LGVE 1998 II Nr. 45, 322). 1.2   Während die Beklagte den Anspruch der Klägerin auf eine volle BVG-Invalidenrente, berechnet auf dem effektiven (vollen) AHV-Lohn 2008 von Fr. 64'715.--, anerkennt und für die (überobligatorischen) Leistungen gemäss Vorsorgeplan (vgl. act. G 11.8) lediglich den gemeldeten Lohn von Fr. 44'164.-- berücksichtigt, weshalb die reglementarische Rente betraglich tiefer als die BVG-Rente ist, verlangt die Klägerin die Ausrichtung von Invalidenleistungen gemäss Vorsorgeplan unter Berücksichtigung des effektiven AHV-Lohns. Die Invalidität der Klägerin trat im Dezember 2009 ein, weshalb für das vorliegende Verfahren die reglementarischen Bestimmungen der Beklagten von 2009 (act. G 11.5) zur Anwendung kommen.</w:t>
      </w:r>
    </w:p>
    <w:p>
      <w:r>
        <w:rPr>
          <w:b/>
        </w:rPr>
        <w:t>E. 2</w:t>
      </w:r>
    </w:p>
    <w:p>
      <w:r>
        <w:t>2.1   Nach Art. 26 Ziff. 3 des Kassenreglements 2009 der Beklagten besteht bei einem Invaliditätsgrad von 70% oder mehr Anspruch auf die volle Leistung, wobei Art. 33 des Kassenreglements vorbehalten bleibt. Die Leistungen richten sich nach dem von der IV verfügten Invaliditätsgrad. Der Anspruch beginnt nach der vertraglich vereinbarten Wartefrist (Art. 26 Ziff. 4 Kassenreglement 2009). Die Höhe der jährlichen BVG-Invalidenrente wird nach dem gleichen Umwandlungssatz berechnet wie die BVG-Altersrente. Das dabei zugrunde zu legende Altersguthaben besteht aus dem BVG-Altersguthaben, das die versicherte Person bis zum Beginn des Anspruchs auf die BVG-Invalidenrente erworben hat, samt Zinsen, und der Summe der BVG-Altersgutschriften für die bis zum Rücktrittsalter fehlenden Jahre, ohne Zinsen. Die Altersgutschriften bemessen sich nach dem beim Eintritt der Arbeitsunfähigkeit ver­sicherten Lohn (Art. 26 Ziff. 6 Kassenreglement 2009). 2.2   Gemäss Art. 16 Ziff. 1 des Kassenreglements 2009 entspricht der (unter anderem im Zusammenhang mit der Beitragserhebung) massgebende Jahreslohn dem mutmasslichen AHV-Jahreslohn der versicherten Person einschliesslich allfälliger Gratifikationen. Familien- und Kinderzu­lagen, Spesenentschädigungen und Lohnbestandteile, die nur gelegentlich oder vorübergehend anfallen, werden nicht berücksichtigt. Der massgebende Jahreslohn wird nach Art. 16 Ziff. 2 des Kassenreglements 2009 bei Kasseneintritt oder bei Anpassung auf den 1. Januar im Voraus festgelegt. Lohnänderungen während des Jahres werden ab dem Zeitpunkt der Meldung mit dem ersten Tag des folgenden Monats berücksichtigt. Die Lohnmeldungen der Mitgliedfirma haben schriftlich zu erfolgen. Unterlässt die Mitgliedfirma die schriftliche Lohnmeldung per 1. Januar, behält der bisher gemeldete AHV-Lohn weiterhin seine Gültigkeit. Gehört eine versicherte Person nicht während eines ganzen Kalenderjahres der B.___ an, so wird der massgebende Lohn auf ein Jahr hochgerechnet. Sinkt der AHV-Jahreslohn vorübergehend wegen Krankheit, Unfall, Arbeitslosigkeit oder aus ähnlichen Gründen, behält der bisherige Lohn mindestens solange Gültigkeit, als die Lohnzahlungs- oder Lohnersatzleistungspflicht besteht (Art. 16 Ziff. 3 Kassenreglement 2009). Grundlage für die Festsetzung der Beiträge und Leistungen bildet der koordinierte Lohn. Für die Berechnung des koordinierten Lohnes gelten die vom Bundesrat festgesetzten Ansätze gemäss Ziff. 2 des Anhangs (Art. 16 Ziff. 4 Kassenreglement 2009). Stimmt der gemeldete Lohn nicht mit dem effektiv erzielten Einkommen überein, sind Lohnkorrekturen, nach Eintritt eines Leistungsfalles (Art. 19-28), nur bis zum oberen Grenzwert (dreifache maximale AHV-Altersrente) möglich (Art. 16 Ziff. 5 Kassenreglement 2009). Gemäss Ziff. 2 Abs. 4 des Anhangs zum Kassenreglement 2009 entspricht in der weitergehenden Vorsorge der gemeldete Jahreslohn dem massgebenden Lohn. Dieser darf den AHV-Lohn nicht übersteigen.</w:t>
      </w:r>
    </w:p>
    <w:p>
      <w:r>
        <w:rPr>
          <w:b/>
        </w:rPr>
        <w:t>E. 3</w:t>
      </w:r>
    </w:p>
    <w:p>
      <w:r>
        <w:t>3.1   Der AHV-Jahresverdienst der Klägerin betrug im Jahr 2007, einschliesslich Gratifikation von Fr. 12'416.--, insgesamt Fr. 57'166.-- und im Jahr 2008, einschliesslich Gratifikation von Fr. 28'715.--, Fr. 64'715.-- (act. G 11.2 S. 3; G 1.3). Der Beklagten meldete die Arbeitgeberin der Klägerin demgegenüber für 2007 lediglich einen Jahreslohn von Fr. 48'000.-- und für 2008 einen solchen von Fr. 44'164.-- (G 11.3, G 11.4). Der AHV-Lohn der Klägerin war somit in den beiden Jahren vor Eintritt der Arbeitsunfähigkeit höher als der Lohn, welcher der Beklagten gemeldet wurde. Von einem nur gelegentlich anfallenden Lohnbestandteil, der im Sinn von Art. 3 Abs. 1 lit. a BVV 2 bei der Bestimmung des koordinierten Lohnes (teilweise) weggelassen werden könnte, kann bei der Gratifikation der Klägerin nicht ausgegangen werden, da sie auch im Arbeitsvertrag - mit leistungsabhängiger Bemessung - vorgesehen war (act. G 1.1 Ziff. 6). Die Beklagte ermittelte wie erwähnt die BVG-Mindestinvalidenrente unter Zugrundelegung des AHV-Lohns 2008 von Fr. 64'714.--, wohingegen sie für die Berechnung der gemäss Vorsorgeplan versicherten reglementarischen Rente den gemeldeten Lohn von Fr. 44'164.-- heranzog. Da die reglementarische Rente tiefer als die BVG-Invalidenrente (von der Beklagten vorerst mit Fr. 13'812.-- berechnet, nunmehr auf Fr. 13'535.05 korrigiert; act. G 11.6) war, sprach sie die BVG-Invalidenrente zu (act. G 1.11). Sie stellt sich auf den Standpunkt, dass die Klägerin weder für 2007 noch für das Folgejahr eine Korrektur im Sinn einer Erhöhung auf den gesamten AHV-Lohn verlangt und damit offensichtlich mit der zu tiefen Lohnmeldung an die Beklagte einverstanden gewesen sei (act. G 11 S. 5). 3.2   Vorab ist mit der Beklagten (vgl. act. G 19 S. 3 Ziff. 4) festzuhalten, dass grundsätzlich kein Anlass bestand, die "Richtigkeit" der erwähnten Lohnmeldungen der Arbeitgeberin anzuzweifeln. Dies umso weniger, als angesichts der grossen Zahl der von der Beklagten betreuten aktiven Versicherten und der Lohnmeldeobliegenheiten der Arbeitgeber (Art. 16 Ziff. 2 Kassenreglement 2009) keine grossen Anforderungen an die Prüfungspflicht im Einzelfall gestellt werden können. Für den Entscheid, ob und wenn ja welcher Lohn im Überobligatorium versichert sein soll, machen sodann das Kassenreglement und die Bestimmungen für die zusätzliche Vorsorge der versicherten Person bzw. dem Arbeitgeber keine Vorgaben; es besteht insbesondere keine Verpflichtung, auch im Überobligatoriumsbereich den (gesamten) AHV-Lohn zu versichern. Da die Lohnmeldepflicht auf Seiten der Arbeitgeberin liegt, kann einer versicherten Person eine allenfalls zu tiefe Lohnmeldung jedoch nur entgegengehalten werden, wenn ihr (insbesondere aufgrund von Versicherungsausweisen) die gemeldete Lohnhöhe im Nachhinein zur Kenntnis gelangte und sie sich damit einverstanden erklärte. Der Klägerin dürften vor dem Zeitpunkt des Eintritts der Arbeits- und Erwerbsunfähigkeit im Dezember 2008 die für 2008 von der Arbeitgeberin gemeldeten Löhne - aufgrund des der Arbeitgeberin zugestellten Versicherungsausweises vom 13. März 2008 (act. G 11.7) - bekannt gewesen sein. Sie hatte damit wohl auch Kenntnis von der Tatsache, dass die der Beklagten gemeldeten Löhne betraglich unter den effektiv ausgerichteten Salären lagen; jedenfalls lässt sie in diesem Verfahren nichts anderes geltend machen. Zu beachten ist nun allerdings, dass der Arbeitsvertrag der Klägerin ein Grundgehalt von Fr. 36'000.-- pro Jahr (60%-Pensum) und ein umsatzabhängiges Erfolgshonorar vorsah (act. G 1.2 Ziff. 3). Sowohl im Zeitpunkt der Einreichung der Lohnliste bei der Beklagten (11. März 2008; act. G 11.3) als auch bei Ausstellung des Versicherungsausweises 2008 (am 13. März 2008; act. G 11.7) konnte der Umsatz für das ganze Jahr 2008 noch nicht bekannt sein, so dass sich in jenen Zeitpunkten das umsatzabhängige Erfolgshonorar der Klägerin für 2008 noch gar nicht beziffern liess. Dieses wird gemäss Arbeitsvertrag erst Ende Jahr festgelegt (act. G 1.2 Ziff. 3 lit. c). In dieser Situation kann es nicht der Klägerin angelastet werden, wenn sie die von der Arbeitgeberin gemeldeten Löhne, welche sich erst im Nachhinein als zu tief herausstellten, im weiteren Verlauf des Jahres 2008 nicht beanstandete. Denn in den Monaten vor Eintritt der Arbeitsunfähigkeit (19. Dezember 2008) hätte weder sie selbst noch die Arbeitgeberin angeben können, wie hoch der Lohn 2008 nun effektiv sein werde. Eine Meldung nach dem 19. Dezember 2008 war der Klägerin aus gesundheitlichen Gründen (Hirnschädigung; act. G 1.4) nicht möglich. Bei der Lohnmeldung an die Beklagte Anfang 2008 standen der Arbeitgeberin (zu) tiefe und (zu) hohe Lohnprognosen "zur Auswahl". Dass die Arbeitgeberin damals - wie sich im Nachhinein zeigte - den Lohn der Klägerin zu tief prognostizierte, kann der Klägerin unter diesen Umständen für die spätere Rentenbemessung nicht zum Nachteil gereichen. 3.3   Die versicherte Invalidenrente der Klägerin, welche nicht dem Kader, sondern dem Personenkreis "gesamtes Personal" angehörte, beträgt gemäss Vorsorgeplan 30% des massgebenden Jahreslohns 2008, wobei die Leistungen nach BVG lediglich den Mindestanspruch darstellen (vgl. act. G 11.7, 11.8 S. 3). Die Beklagte hat mit Art. 2 Abs. 4 des Anhangs zum Kassenreglement von der Möglichkeit Gebrauch gemacht, im Bereich der zusätzlichen Vorsorge (Überobligatorium) den versicherten Lohn abweichend von den Bestimmungen des BVG-Obligatoriums zu regeln (vgl. Art. 3 BVV 2 und Urteil des Bundesgerichts [bis 31. Dezember 2006: Eidgenössisches Versicherungsgericht, EVG] vom 16. Oktober 2003, B 42/03, E. 3). Sie lässt in diesem Zusammenhang festhalten, dass in der Praxis kleine Unternehmungen häufig ihre Kaderleute/Firmeninhaber bewusst mit einem niedrigeren als dem effektiven AHV-Lohn melden würden, weshalb sie mit Art. 2 Abs. 4 des Anhangs zum Kassenreglement eine Regelung getroffen habe, wonach im Bereich der Zusatzvorsorge auf den gemeldeten Lohn abzustellen sei (act. G 11 S. 8 Ziff. 3). Hier ist jedoch zu beachten, dass die Klägerin (wie erwähnt) nicht dem Personenkreis Kader/Firmeninhaber angehört hatte. Einen Einfluss auf die Höhe des von der Arbeitgeberin vorab gemeldeten Lohns (vgl. dazu vorstehende E. 3.2) dürfte sie nicht gehabt haben. Wenn dennoch davon auszugehen wäre, dass sich sowohl die Klägerin als auch die Arbeitgeberin mit der Lohnmeldung dahingehend entschieden hätten, der Beklagten einen den AHV-Lohn unterschreitenden Lohnbetrag zu melden (wofür hier allerdings keinerlei Anhaltspunkte bestehen), so würde mit dieser Meldung das Lohnmaximum des BVG (= dreifache maximale AHV-Altersrente; Art. 8 Abs. 1 BVG in Verbindung mit Art. 6 BVG) nicht erreicht. Selbst bei Meldung des vollen AHV-Lohns der Klägerin würde das BVG-Lohnmaximum noch unterschritten. 3.4   Art. 16 Ziff. 5 des Kassenreglements 2009 lässt Lohnkorrekturen auch nach Eintritt des Leistungsfalls bis zum dreifachen Betrag der maximalen AHV-Altersrente zu. Zu beachten ist dabei, dass Art. 16 Ziff. 5 Kassenreglement 2009 für den überobligatorischen Bereich bzw. die zusätzliche Vorsorge nicht ausgenommen wurde (vgl. Art. 9 der Bestimmungen für die zusätzliche Vorsorge) und damit auch dort zur Anwendung kommt. Ebenfalls nicht von der zusätzlichen Vorsorge ausgenommen wurde im Weiteren Art. 16 Ziff. 1 des Kassenreglements 2009, wonach der massgebende Jahreslohn auch allfällige Gratifikationen enthält (vgl. Art. 9 der Bestimmungen für die zusätzliche Vorsorge). Der Hinweis der Beklagten, dass das Kassenreglement die Bestimmungen zur BVG-minimalen Vorsorge enthalte (act. G 11 S. 7), stimmt somit nur bedingt in dem Sinn, dass auf die zusätzliche Vorsorge die Bestimmungen des Kassenreglements zur Anwendung kommen, wenn und soweit diese nicht ausdrücklich von der Anwendbarkeit ausgenommen sind oder keine andere ausdrückliche Regelung für die zusätzliche Vorsorge besteht (vgl. Art. 1 der Bestimmungen für die zusätzliche Vorsorge). Von Bedeutung ist sodann, dass Art. 2 Abs. 4 des Anhangs zum Kassenreglement 2009, wonach in der weitergehenden Vorsorge der gemeldete Jahreslohn dem massgebenden Lohn entspricht, eine nachträgliche Lohnmeldung im Sinn von Art. 16 Ziff. 5 des Kassenreglements nicht ausschliesst, soweit diese - wie dies vorliegend der Fall  ist - den AHV-Lohn und das BVG-Lohnmaximum nicht überschreitet. Ein im Sinn von Art. 2 Abs. 4 des Anhangs zum Kassenreglement gemeldeter Lohn - und dies erscheint hier entscheidend - ergibt sich somit nicht nur aus einer vorgängigen Lohnmeldung, sondern auch aus einer im Sinn von Art. 16 Ziff. 5 des Kassenreglements nachträglich gemeldeten Lohnkorrektur. Die reglementarischen Bestimmungen verhindern m.a.W. eine nachträgliche Meldung des effektiven Lohns nach Beginn einer Arbeitsunfähigkeit lediglich dann, wenn und soweit der effektive Lohn das BVG-Lohnmaximum überschreitet. Reglementarisch nicht ausgeschlossen ist demgegenüber, nach Eintritt einer Arbeitsunfähigkeit mit Dauercharakter den effektiv erzielten, das BVG-Lohnmaximum nicht erreichenden Lohn zu melden und in der Folge zu korrigieren (vgl. zur Frage der Berücksichtigung einer nachträglichen Lohnzahlung bei der Rentenberechnung auch Urteile des Bundesgerichts vom 14. März 2008, 9C_568/2007, E. 3 und 4, und vom 30. April 2002, B 58/00, E. 3). Nichts anderes lässt sich im Übrigen aus der Feststellung der Beklagten ableiten, wonach es nicht zu einer (nachträglichen) Anpassung des Lohns (im Sinn von Art. 16 Abs. 5 des Kassenreglements) komme, soweit es sich nicht bloss um die BVG-minimale Vorsorge (mit Löhnen bis zum oberen Grenzwert) handle (act. G 11 S. 7 unten), denn der effektive AHV-Lohn 2008 der Klägerin erreichte den oberen Lohn-Grenzwert gemäss BVG wie erwähnt nicht. 3.5   Unter diesen Umständen ist die Invalidenrente der Klägerin gemäss Vorsorgeplan zu berechnen. Sie beträgt 30% des massgebenden Jahreslohns 2008 von Fr. 64'715.--, d.h. Fr. 19'414.50 pro Jahr. Eine überobligatorische Kinder-Invalidenrente ist bei den dem "gesamten Personal" angehörenden Personen nicht versichert, sondern lediglich eine Kinder-Invalidenrente in der Höhe des BVG-Minimums (vgl. act. G 11.7, 11.8). Die Invalidenkinderrente entspricht 20 % der BVG-Invalidenrente (Art. 27 Ziff. 3 Kassenreglement 2009), d.h. Fr. 2'707.-- pro Jahr (20% von Fr. 13'535.04; act. G 11.6).</w:t>
      </w:r>
    </w:p>
    <w:p>
      <w:r>
        <w:rPr>
          <w:b/>
        </w:rPr>
        <w:t>E. 4</w:t>
      </w:r>
    </w:p>
    <w:p>
      <w:r>
        <w:t>4.1   Im Sinn der vorstehenden Erwägungen ist die Beklagte in Gutheissung der gegen sie erhobenen Klage zu verpflichten, der Klägerin mit Wirkung ab Dezember 2010 (Ablauf der Wartefrist von 720 Tagen; act. G 11.8 S. 3) eine jährliche Invalidenrente im Betrag von Fr. 19'414.50 und eine Invalidenkinderrente von jährlich Fr. 2'707.-- auszurichten. Gerichtskosten sind keine zu erheben (Art. 73 Abs. 2 BVG).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Das Kassenreglement 2009 legt in Art. 29 Abs. 2 fest, dass der Verzugszins dem Mindestzins gemäss BVG entspricht. Dieser betrug im Jahr 2012 1.5%. Der Beginn der Zinspflicht richtet sich nach Art. 105 Abs. 1 OR (BGE 119 V 133 E. 4 = Pra 83 (1994) Nr. 67), wonach ein Schuldner, der mit der Entrichtung von Renten im Verzug ist, erst vom Tag der Anhebung der Betreibung oder der gerichtlichen Klage an Verzugszinsen zu bezahlen hat. Im vorliegenden Fall hat die Klägerin am 14. März 2012 (Poststempel) die Klage eingeleitet; somit schuldet ihr die Beklagte ab diesem Zeitpunkt Verzugszins zu 1.5% auf den ausstehenden Leistungen. 4.2   Bei diesem Verfahrensausgang hat die Klägerin Anspruch auf Parteientschädigung gegenüber der Beklagten. Es rechtfertigt sich, diese auf pauschal Fr. 3'500.-- festzulegen. Demgemäss hat das Versicherungsgericht im Zirkulationsverfahren gemäss Art. 39 VRP entschieden: 1.      In Gutheissung der Klage wird die Beklagte verpflichtet, der Klägerin mit Wirkung ab Dezember 2010 eine jährliche Invalidenrente von Fr. 19'414.50 und eine jährliche Invalidenkinderrente von Fr. 2'707.--, zuzüglich Zins von 1.5% seit 14. März 2012 auf den ausstehenden Leistungen, auszurichten. 2.      Es werden keine Gerichtskosten erhoben. 3.      Die Beklagte hat der Klägerin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